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269"/>
        <w:gridCol w:w="2269"/>
        <w:gridCol w:w="1276"/>
        <w:gridCol w:w="5952"/>
        <w:gridCol w:w="2323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90, упр. 677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 и объект действия.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 и объект действия.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91, упр. 681.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П. 91, упр. 685.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«Глагол».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 «Глагол».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 81-91, вопросы стр. 164-166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Союз как часть речи.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Союз как часть речи.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темы. Подготовка к контрольной работе.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темы. Подготовка к контрольной работе.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Повторить весь раздел «Морфология».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«Морфология».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Контрольная работа по теме «Морфология».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LibreOffice/6.4.2.2$Windows_X86_64 LibreOffice_project/4e471d8c02c9c90f512f7f9ead8875b57fcb1ec3</Application>
  <Pages>2</Pages>
  <Words>145</Words>
  <Characters>1046</Characters>
  <CharactersWithSpaces>1135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2020-04-30T18:20:29Z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