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4527"/>
        <w:gridCol w:w="3109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5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25.05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https://edu.skysmart.ru/student/mufarepuhu</w:t>
            </w:r>
          </w:p>
        </w:tc>
        <w:tc>
          <w:tcPr>
            <w:tcW w:w="310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26.05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11, текст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Museams </w:t>
            </w:r>
            <w:r>
              <w:rPr>
                <w:rStyle w:val="Style13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31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27.05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52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Holidays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310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LibreOffice/6.4.1.2$Windows_X86_64 LibreOffice_project/4d224e95b98b138af42a64d84056446d09082932</Application>
  <Pages>1</Pages>
  <Words>77</Words>
  <Characters>491</Characters>
  <CharactersWithSpaces>537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dc:description/>
  <dc:language>ru-RU</dc:language>
  <cp:lastModifiedBy/>
  <dcterms:modified xsi:type="dcterms:W3CDTF">2020-05-13T14:01:47Z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