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Контрольная работа №6 по теме «Тригонометрические формулы»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Контрольная работа №6 по теме «Тригонометрические формулы»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по алгебре: Потапов М.К. Шевкин А.В.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4 стр182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642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,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644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https://www.yaklass.ru/p/algebra/10-klass/preobrazovanie-trigonometricheskikh-vyrazhenii-9146/sinus-i-kosinus-summy-i-raznosti-argumentov-9136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5 стр183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https://www.yaklass.ru/p/algebra/10-klass/preobrazovanie-trigonometricheskikh-vyrazhenii-9146/formuly-dvoinogo-argumenta-9137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/>
              <w:t>4.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/>
              <w:t>25.04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Произведение синусов и косинусов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Произведение синусов и косинусов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>6 стр191 № 684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https://www.yaklass.ru/p/algebra/10-klass/preobrazovanie-trigonometricheskikh-vyrazhenii-9146/preobrazovanie-proizvedenii-trigonometricheskikh-funktcii-v-summy-11854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2</Pages>
  <Words>142</Words>
  <Characters>1410</Characters>
  <CharactersWithSpaces>1512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2020-04-18T16:50:46Z</dcterms:created>
  <dc:creator/>
  <dc:description/>
  <dc:language>ru-RU</dc:language>
  <cp:lastModifiedBy/>
  <dcterms:modified xsi:type="dcterms:W3CDTF">2020-04-18T18:32:35Z</dcterms:modified>
  <cp:revision>2</cp:revision>
  <dc:subject/>
  <dc:title/>
</cp:coreProperties>
</file>